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9D0B1" w14:textId="228DB24D" w:rsidR="009C729D" w:rsidRDefault="00DB78D2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GRIGLIA DI VALUTAZIONE PROVA ORALE</w:t>
      </w:r>
    </w:p>
    <w:p w14:paraId="30FDFCCE" w14:textId="77777777" w:rsidR="00DB78D2" w:rsidRDefault="00DB78D2">
      <w:pPr>
        <w:jc w:val="center"/>
        <w:rPr>
          <w:color w:val="000000"/>
          <w:sz w:val="22"/>
          <w:szCs w:val="22"/>
        </w:rPr>
      </w:pPr>
    </w:p>
    <w:p w14:paraId="41B7FB61" w14:textId="5DD68DF5" w:rsidR="009C729D" w:rsidRDefault="009C729D">
      <w:pPr>
        <w:tabs>
          <w:tab w:val="left" w:pos="1695"/>
          <w:tab w:val="left" w:pos="2865"/>
          <w:tab w:val="center" w:pos="7480"/>
        </w:tabs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Italiano</w:t>
      </w:r>
      <w:r w:rsidR="00DB78D2">
        <w:rPr>
          <w:b/>
          <w:bCs/>
          <w:color w:val="000000"/>
          <w:sz w:val="22"/>
          <w:szCs w:val="22"/>
        </w:rPr>
        <w:t>, Storia e Geografia</w:t>
      </w:r>
    </w:p>
    <w:p w14:paraId="0B10CD4B" w14:textId="6363BD64" w:rsidR="00DB78D2" w:rsidRDefault="00DB78D2">
      <w:pPr>
        <w:tabs>
          <w:tab w:val="left" w:pos="1695"/>
          <w:tab w:val="left" w:pos="2865"/>
          <w:tab w:val="center" w:pos="7480"/>
        </w:tabs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(Biennio)</w:t>
      </w:r>
    </w:p>
    <w:p w14:paraId="4A33935A" w14:textId="77777777" w:rsidR="009C729D" w:rsidRDefault="009C729D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90" w:type="dxa"/>
          <w:right w:w="190" w:type="dxa"/>
        </w:tblCellMar>
        <w:tblLook w:val="0000" w:firstRow="0" w:lastRow="0" w:firstColumn="0" w:lastColumn="0" w:noHBand="0" w:noVBand="0"/>
      </w:tblPr>
      <w:tblGrid>
        <w:gridCol w:w="2476"/>
        <w:gridCol w:w="6509"/>
        <w:gridCol w:w="1260"/>
      </w:tblGrid>
      <w:tr w:rsidR="009C729D" w:rsidRPr="009C729D" w14:paraId="1162EA4D" w14:textId="77777777" w:rsidTr="00B2343C">
        <w:trPr>
          <w:trHeight w:val="810"/>
        </w:trPr>
        <w:tc>
          <w:tcPr>
            <w:tcW w:w="2476" w:type="dxa"/>
            <w:shd w:val="solid" w:color="FFFFFF" w:fill="FFFFFF"/>
          </w:tcPr>
          <w:p w14:paraId="37A8B8BD" w14:textId="77777777" w:rsidR="009C729D" w:rsidRPr="009C729D" w:rsidRDefault="009C729D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rPr>
                <w:b/>
                <w:bCs/>
                <w:color w:val="000000"/>
                <w:sz w:val="22"/>
                <w:szCs w:val="22"/>
              </w:rPr>
              <w:t>INDICATORI</w:t>
            </w:r>
          </w:p>
        </w:tc>
        <w:tc>
          <w:tcPr>
            <w:tcW w:w="6509" w:type="dxa"/>
            <w:shd w:val="solid" w:color="FFFFFF" w:fill="FFFFFF"/>
          </w:tcPr>
          <w:p w14:paraId="5EC40AB7" w14:textId="77777777" w:rsidR="009C729D" w:rsidRPr="009C729D" w:rsidRDefault="009C729D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rPr>
                <w:b/>
                <w:bCs/>
                <w:color w:val="000000"/>
                <w:sz w:val="22"/>
                <w:szCs w:val="22"/>
              </w:rPr>
              <w:t>DESCRITTORI</w:t>
            </w:r>
          </w:p>
        </w:tc>
        <w:tc>
          <w:tcPr>
            <w:tcW w:w="1260" w:type="dxa"/>
            <w:shd w:val="solid" w:color="FFFFFF" w:fill="FFFFFF"/>
          </w:tcPr>
          <w:p w14:paraId="21DC0971" w14:textId="77777777" w:rsidR="009C729D" w:rsidRPr="009C729D" w:rsidRDefault="009C729D">
            <w:pPr>
              <w:rPr>
                <w:sz w:val="24"/>
                <w:szCs w:val="24"/>
              </w:rPr>
            </w:pPr>
            <w:r w:rsidRPr="009C729D">
              <w:rPr>
                <w:b/>
                <w:bCs/>
              </w:rPr>
              <w:t>punteggio in /10</w:t>
            </w:r>
          </w:p>
        </w:tc>
      </w:tr>
      <w:tr w:rsidR="00DB78D2" w:rsidRPr="009C729D" w14:paraId="337D1C86" w14:textId="77777777" w:rsidTr="00B2343C">
        <w:trPr>
          <w:trHeight w:val="690"/>
        </w:trPr>
        <w:tc>
          <w:tcPr>
            <w:tcW w:w="2476" w:type="dxa"/>
            <w:vMerge w:val="restart"/>
            <w:shd w:val="solid" w:color="FFFFFF" w:fill="FFFFFF"/>
            <w:vAlign w:val="center"/>
          </w:tcPr>
          <w:p w14:paraId="1AC352EF" w14:textId="77777777" w:rsidR="00DB78D2" w:rsidRPr="009C729D" w:rsidRDefault="00DB78D2" w:rsidP="00DB78D2">
            <w:pPr>
              <w:jc w:val="center"/>
            </w:pPr>
            <w:r w:rsidRPr="009C729D">
              <w:t>Conoscenza dei contenuti</w:t>
            </w:r>
          </w:p>
          <w:p w14:paraId="52514ED3" w14:textId="77777777" w:rsidR="00DB78D2" w:rsidRPr="009C729D" w:rsidRDefault="00DB78D2" w:rsidP="00DB78D2">
            <w:pPr>
              <w:jc w:val="center"/>
              <w:rPr>
                <w:sz w:val="24"/>
                <w:szCs w:val="24"/>
              </w:rPr>
            </w:pPr>
            <w:r w:rsidRPr="009C729D">
              <w:t>elaborazione critica</w:t>
            </w:r>
          </w:p>
        </w:tc>
        <w:tc>
          <w:tcPr>
            <w:tcW w:w="6509" w:type="dxa"/>
            <w:shd w:val="solid" w:color="FFFFFF" w:fill="FFFFFF"/>
          </w:tcPr>
          <w:p w14:paraId="1449D0BE" w14:textId="105F6CC2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9C729D">
              <w:t>L</w:t>
            </w:r>
            <w:r>
              <w:t>’</w:t>
            </w:r>
            <w:r w:rsidRPr="009C729D">
              <w:t>alunno non fornisce la sia pur minima risposta su nessuno degli argomenti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6ED9C590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1 *</w:t>
            </w:r>
          </w:p>
        </w:tc>
      </w:tr>
      <w:tr w:rsidR="00DB78D2" w:rsidRPr="009C729D" w14:paraId="3DFF6763" w14:textId="77777777" w:rsidTr="00B2343C">
        <w:trPr>
          <w:trHeight w:val="600"/>
        </w:trPr>
        <w:tc>
          <w:tcPr>
            <w:tcW w:w="2476" w:type="dxa"/>
            <w:vMerge/>
            <w:shd w:val="solid" w:color="FFFFFF" w:fill="FFFFFF"/>
          </w:tcPr>
          <w:p w14:paraId="61BC1A38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0846B282" w14:textId="16D54FB4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9C729D">
              <w:t>onoscenze estremamente lacunose, frammentarie e superficiali; assenza di elaborazione critica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1B3AE8BD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1.5</w:t>
            </w:r>
          </w:p>
        </w:tc>
      </w:tr>
      <w:tr w:rsidR="00DB78D2" w:rsidRPr="009C729D" w14:paraId="4DCEB1A0" w14:textId="77777777" w:rsidTr="00B2343C">
        <w:trPr>
          <w:trHeight w:val="615"/>
        </w:trPr>
        <w:tc>
          <w:tcPr>
            <w:tcW w:w="2476" w:type="dxa"/>
            <w:vMerge/>
            <w:shd w:val="solid" w:color="FFFFFF" w:fill="FFFFFF"/>
            <w:vAlign w:val="center"/>
          </w:tcPr>
          <w:p w14:paraId="0A2E1ACF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25C72282" w14:textId="37DC0314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9C729D">
              <w:t>onoscenze alquanto lacunose e superficiali; limitata elaborazione critica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6383AE9D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2</w:t>
            </w:r>
          </w:p>
        </w:tc>
      </w:tr>
      <w:tr w:rsidR="00DB78D2" w:rsidRPr="009C729D" w14:paraId="4EFDF24E" w14:textId="77777777" w:rsidTr="00B2343C">
        <w:trPr>
          <w:trHeight w:val="1005"/>
        </w:trPr>
        <w:tc>
          <w:tcPr>
            <w:tcW w:w="2476" w:type="dxa"/>
            <w:vMerge/>
            <w:shd w:val="solid" w:color="FFFFFF" w:fill="FFFFFF"/>
            <w:vAlign w:val="center"/>
          </w:tcPr>
          <w:p w14:paraId="0D8112E2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2BBE0DB8" w14:textId="2FBA206E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9C729D">
              <w:t>onoscenze sufficientemente corrette, ma un po</w:t>
            </w:r>
            <w:r>
              <w:t>’</w:t>
            </w:r>
            <w:r w:rsidRPr="009C729D">
              <w:t xml:space="preserve"> superficiali; è presente un</w:t>
            </w:r>
            <w:r>
              <w:t>’</w:t>
            </w:r>
            <w:r w:rsidRPr="009C729D">
              <w:t xml:space="preserve">elaborazione critica, </w:t>
            </w:r>
            <w:r>
              <w:t>sia pure</w:t>
            </w:r>
            <w:r w:rsidRPr="009C729D">
              <w:t xml:space="preserve"> a livelli poco complessi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3521065D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2.5</w:t>
            </w:r>
          </w:p>
        </w:tc>
      </w:tr>
      <w:tr w:rsidR="00DB78D2" w:rsidRPr="009C729D" w14:paraId="39B6DCDE" w14:textId="77777777" w:rsidTr="00B2343C">
        <w:trPr>
          <w:trHeight w:val="630"/>
        </w:trPr>
        <w:tc>
          <w:tcPr>
            <w:tcW w:w="2476" w:type="dxa"/>
            <w:vMerge/>
            <w:shd w:val="solid" w:color="FFFFFF" w:fill="FFFFFF"/>
            <w:vAlign w:val="center"/>
          </w:tcPr>
          <w:p w14:paraId="7F456FFA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25E5BB44" w14:textId="127AF880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9C729D">
              <w:t>onoscenze abbastanza ampie, sostenute da un certo apporto critico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794DD37A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3.25</w:t>
            </w:r>
          </w:p>
        </w:tc>
      </w:tr>
      <w:tr w:rsidR="00DB78D2" w:rsidRPr="009C729D" w14:paraId="30F3EAA0" w14:textId="77777777" w:rsidTr="00B2343C">
        <w:trPr>
          <w:trHeight w:val="690"/>
        </w:trPr>
        <w:tc>
          <w:tcPr>
            <w:tcW w:w="2476" w:type="dxa"/>
            <w:vMerge/>
            <w:shd w:val="solid" w:color="FFFFFF" w:fill="FFFFFF"/>
            <w:vAlign w:val="center"/>
          </w:tcPr>
          <w:p w14:paraId="3743F9B4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45CF4C0D" w14:textId="6D4E77E7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9C729D">
              <w:t>onoscenze complete e approfondite, con valido apporto di elaborazione critica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3CA56A83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4</w:t>
            </w:r>
          </w:p>
        </w:tc>
      </w:tr>
      <w:tr w:rsidR="00DB78D2" w:rsidRPr="009C729D" w14:paraId="778A4DE2" w14:textId="77777777" w:rsidTr="00B2343C">
        <w:trPr>
          <w:trHeight w:val="555"/>
        </w:trPr>
        <w:tc>
          <w:tcPr>
            <w:tcW w:w="2476" w:type="dxa"/>
            <w:vMerge w:val="restart"/>
            <w:shd w:val="solid" w:color="FFFFFF" w:fill="FFFFFF"/>
            <w:vAlign w:val="center"/>
          </w:tcPr>
          <w:p w14:paraId="187CB719" w14:textId="77777777" w:rsidR="00DB78D2" w:rsidRPr="009C729D" w:rsidRDefault="00DB78D2">
            <w:pPr>
              <w:autoSpaceDE/>
              <w:autoSpaceDN/>
              <w:rPr>
                <w:sz w:val="24"/>
                <w:szCs w:val="24"/>
              </w:rPr>
            </w:pPr>
            <w:r w:rsidRPr="009C729D">
              <w:t>Competenze linguistiche</w:t>
            </w:r>
          </w:p>
        </w:tc>
        <w:tc>
          <w:tcPr>
            <w:tcW w:w="6509" w:type="dxa"/>
            <w:shd w:val="solid" w:color="FFFFFF" w:fill="FFFFFF"/>
          </w:tcPr>
          <w:p w14:paraId="0388EBB0" w14:textId="7A87FCE8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S</w:t>
            </w:r>
            <w:r w:rsidRPr="009C729D">
              <w:t>carsa padronanza degli strumenti linguistici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36C67BDB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1</w:t>
            </w:r>
          </w:p>
        </w:tc>
      </w:tr>
      <w:tr w:rsidR="00DB78D2" w:rsidRPr="009C729D" w14:paraId="0DC1113E" w14:textId="77777777" w:rsidTr="00B2343C">
        <w:trPr>
          <w:trHeight w:val="675"/>
        </w:trPr>
        <w:tc>
          <w:tcPr>
            <w:tcW w:w="2476" w:type="dxa"/>
            <w:vMerge/>
            <w:shd w:val="solid" w:color="FFFFFF" w:fill="FFFFFF"/>
            <w:vAlign w:val="center"/>
          </w:tcPr>
          <w:p w14:paraId="0FDAC254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565DC14B" w14:textId="3914CA04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N</w:t>
            </w:r>
            <w:r w:rsidRPr="009C729D">
              <w:t>otevoli incertezze nelle competenze relative alle strutture sintattiche e al lessico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65CD3D99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1.5</w:t>
            </w:r>
          </w:p>
        </w:tc>
      </w:tr>
      <w:tr w:rsidR="00DB78D2" w:rsidRPr="009C729D" w14:paraId="3644867E" w14:textId="77777777" w:rsidTr="00B2343C">
        <w:trPr>
          <w:trHeight w:val="345"/>
        </w:trPr>
        <w:tc>
          <w:tcPr>
            <w:tcW w:w="2476" w:type="dxa"/>
            <w:vMerge/>
            <w:shd w:val="solid" w:color="FFFFFF" w:fill="FFFFFF"/>
            <w:vAlign w:val="center"/>
          </w:tcPr>
          <w:p w14:paraId="42BF3843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3CDE39C8" w14:textId="688816FA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L</w:t>
            </w:r>
            <w:r w:rsidRPr="009C729D">
              <w:t>ievi incertezze nelle competenze linguistiche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345B8686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2.25</w:t>
            </w:r>
          </w:p>
        </w:tc>
      </w:tr>
      <w:tr w:rsidR="00DB78D2" w:rsidRPr="009C729D" w14:paraId="37BD23AB" w14:textId="77777777" w:rsidTr="00B2343C">
        <w:trPr>
          <w:trHeight w:val="345"/>
        </w:trPr>
        <w:tc>
          <w:tcPr>
            <w:tcW w:w="2476" w:type="dxa"/>
            <w:vMerge/>
            <w:shd w:val="solid" w:color="FFFFFF" w:fill="FFFFFF"/>
            <w:vAlign w:val="center"/>
          </w:tcPr>
          <w:p w14:paraId="7DE85202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549F0672" w14:textId="703F3F9C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C</w:t>
            </w:r>
            <w:r w:rsidRPr="009C729D">
              <w:t>ompleta padronanza degli strumenti linguistici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73C716A8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3</w:t>
            </w:r>
          </w:p>
        </w:tc>
      </w:tr>
      <w:tr w:rsidR="00DB78D2" w:rsidRPr="009C729D" w14:paraId="4CD3268F" w14:textId="77777777" w:rsidTr="00B2343C">
        <w:trPr>
          <w:trHeight w:val="735"/>
        </w:trPr>
        <w:tc>
          <w:tcPr>
            <w:tcW w:w="2476" w:type="dxa"/>
            <w:vMerge w:val="restart"/>
            <w:shd w:val="solid" w:color="FFFFFF" w:fill="FFFFFF"/>
            <w:vAlign w:val="center"/>
          </w:tcPr>
          <w:p w14:paraId="6E0E1BAE" w14:textId="77777777" w:rsidR="00DB78D2" w:rsidRPr="009C729D" w:rsidRDefault="00DB78D2">
            <w:pPr>
              <w:rPr>
                <w:sz w:val="24"/>
                <w:szCs w:val="24"/>
              </w:rPr>
            </w:pPr>
            <w:r w:rsidRPr="009C729D">
              <w:t>Capacità argomentative, di sintesi e di analisi</w:t>
            </w:r>
          </w:p>
        </w:tc>
        <w:tc>
          <w:tcPr>
            <w:tcW w:w="6509" w:type="dxa"/>
            <w:shd w:val="solid" w:color="FFFFFF" w:fill="FFFFFF"/>
          </w:tcPr>
          <w:p w14:paraId="2E48C3C5" w14:textId="1200D1CF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S</w:t>
            </w:r>
            <w:r w:rsidRPr="009C729D">
              <w:t>carse capacità di sintesi, analisi e argomentative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388B2339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1</w:t>
            </w:r>
          </w:p>
        </w:tc>
      </w:tr>
      <w:tr w:rsidR="00DB78D2" w:rsidRPr="009C729D" w14:paraId="6E9ECB3C" w14:textId="77777777" w:rsidTr="00B2343C">
        <w:trPr>
          <w:trHeight w:val="345"/>
        </w:trPr>
        <w:tc>
          <w:tcPr>
            <w:tcW w:w="2476" w:type="dxa"/>
            <w:vMerge/>
            <w:shd w:val="solid" w:color="FFFFFF" w:fill="FFFFFF"/>
            <w:vAlign w:val="center"/>
          </w:tcPr>
          <w:p w14:paraId="5B7B2885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1ECE57BA" w14:textId="7FF56556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D</w:t>
            </w:r>
            <w:r w:rsidRPr="009C729D">
              <w:t>ifficoltà nella sintesi e nell</w:t>
            </w:r>
            <w:r>
              <w:t>’</w:t>
            </w:r>
            <w:r w:rsidRPr="009C729D">
              <w:t>analisi dei contenuti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6D083324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1.5</w:t>
            </w:r>
          </w:p>
        </w:tc>
      </w:tr>
      <w:tr w:rsidR="00DB78D2" w:rsidRPr="009C729D" w14:paraId="57F0360C" w14:textId="77777777" w:rsidTr="00B2343C">
        <w:trPr>
          <w:trHeight w:val="660"/>
        </w:trPr>
        <w:tc>
          <w:tcPr>
            <w:tcW w:w="2476" w:type="dxa"/>
            <w:vMerge/>
            <w:shd w:val="solid" w:color="FFFFFF" w:fill="FFFFFF"/>
            <w:vAlign w:val="center"/>
          </w:tcPr>
          <w:p w14:paraId="5CE7B102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3F7E8F70" w14:textId="6A7B09EC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Q</w:t>
            </w:r>
            <w:r w:rsidRPr="009C729D">
              <w:t>ualche incertezza nella visione di insieme e nella coerenza argomentativa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7551A33C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2.25</w:t>
            </w:r>
          </w:p>
        </w:tc>
      </w:tr>
      <w:tr w:rsidR="00DB78D2" w:rsidRPr="009C729D" w14:paraId="10DAAB12" w14:textId="77777777" w:rsidTr="00B2343C">
        <w:trPr>
          <w:trHeight w:val="630"/>
        </w:trPr>
        <w:tc>
          <w:tcPr>
            <w:tcW w:w="2476" w:type="dxa"/>
            <w:vMerge/>
            <w:shd w:val="solid" w:color="FFFFFF" w:fill="FFFFFF"/>
            <w:vAlign w:val="center"/>
          </w:tcPr>
          <w:p w14:paraId="355650F0" w14:textId="77777777" w:rsidR="00DB78D2" w:rsidRPr="009C729D" w:rsidRDefault="00DB78D2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6509" w:type="dxa"/>
            <w:shd w:val="solid" w:color="FFFFFF" w:fill="FFFFFF"/>
          </w:tcPr>
          <w:p w14:paraId="4B6BD437" w14:textId="1E156344" w:rsidR="00DB78D2" w:rsidRPr="009C729D" w:rsidRDefault="00DB78D2">
            <w:pPr>
              <w:autoSpaceDE/>
              <w:autoSpaceDN/>
              <w:jc w:val="both"/>
              <w:rPr>
                <w:sz w:val="24"/>
                <w:szCs w:val="24"/>
              </w:rPr>
            </w:pPr>
            <w:r>
              <w:t>V</w:t>
            </w:r>
            <w:r w:rsidRPr="009C729D">
              <w:t>alide capacità argomentative, di sintesi e di analisi</w:t>
            </w:r>
            <w:r>
              <w:t>.</w:t>
            </w:r>
          </w:p>
        </w:tc>
        <w:tc>
          <w:tcPr>
            <w:tcW w:w="1260" w:type="dxa"/>
            <w:shd w:val="solid" w:color="FFFFFF" w:fill="FFFFFF"/>
          </w:tcPr>
          <w:p w14:paraId="02B91155" w14:textId="77777777" w:rsidR="00DB78D2" w:rsidRPr="009C729D" w:rsidRDefault="00DB78D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3</w:t>
            </w:r>
          </w:p>
        </w:tc>
      </w:tr>
      <w:tr w:rsidR="00B2343C" w:rsidRPr="009C729D" w14:paraId="3469541A" w14:textId="77777777" w:rsidTr="003721C8">
        <w:trPr>
          <w:trHeight w:val="360"/>
        </w:trPr>
        <w:tc>
          <w:tcPr>
            <w:tcW w:w="8985" w:type="dxa"/>
            <w:gridSpan w:val="2"/>
            <w:shd w:val="solid" w:color="FFFFFF" w:fill="FFFFFF"/>
          </w:tcPr>
          <w:p w14:paraId="79E11150" w14:textId="77777777" w:rsidR="00B2343C" w:rsidRPr="009C729D" w:rsidRDefault="00B2343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9C729D">
              <w:t>TOTALE</w:t>
            </w:r>
          </w:p>
        </w:tc>
        <w:tc>
          <w:tcPr>
            <w:tcW w:w="1260" w:type="dxa"/>
            <w:shd w:val="solid" w:color="FFFFFF" w:fill="FFFFFF"/>
          </w:tcPr>
          <w:p w14:paraId="4A6233C8" w14:textId="77777777" w:rsidR="00B2343C" w:rsidRPr="009C729D" w:rsidRDefault="00B2343C">
            <w:pPr>
              <w:overflowPunct/>
              <w:rPr>
                <w:sz w:val="24"/>
                <w:szCs w:val="24"/>
              </w:rPr>
            </w:pPr>
          </w:p>
        </w:tc>
      </w:tr>
    </w:tbl>
    <w:p w14:paraId="47CC381F" w14:textId="77777777" w:rsidR="009C729D" w:rsidRDefault="009C729D">
      <w:pPr>
        <w:overflowPunct/>
        <w:rPr>
          <w:noProof/>
        </w:rPr>
      </w:pPr>
    </w:p>
    <w:p w14:paraId="0091CC77" w14:textId="77777777" w:rsidR="009C729D" w:rsidRDefault="009C729D">
      <w:pPr>
        <w:rPr>
          <w:noProof/>
        </w:rPr>
      </w:pPr>
    </w:p>
    <w:p w14:paraId="745DA47B" w14:textId="615B499E" w:rsidR="009C729D" w:rsidRDefault="009C729D">
      <w:pPr>
        <w:rPr>
          <w:noProof/>
        </w:rPr>
      </w:pPr>
    </w:p>
    <w:p w14:paraId="06242D36" w14:textId="34E718EE" w:rsidR="00B2343C" w:rsidRDefault="00B2343C">
      <w:pPr>
        <w:rPr>
          <w:noProof/>
        </w:rPr>
      </w:pPr>
    </w:p>
    <w:p w14:paraId="772C4DED" w14:textId="77777777" w:rsidR="009C729D" w:rsidRDefault="009C729D">
      <w:bookmarkStart w:id="0" w:name="_GoBack"/>
      <w:bookmarkEnd w:id="0"/>
    </w:p>
    <w:p w14:paraId="67EC3069" w14:textId="77777777" w:rsidR="009C729D" w:rsidRDefault="009C729D">
      <w:r>
        <w:t>* In questo caso non è possibile attribuire alcun punteggio relativo agli altri due indicatori</w:t>
      </w:r>
    </w:p>
    <w:sectPr w:rsidR="009C729D" w:rsidSect="009C729D">
      <w:headerReference w:type="default" r:id="rId6"/>
      <w:footerReference w:type="default" r:id="rId7"/>
      <w:pgSz w:w="11905" w:h="16835"/>
      <w:pgMar w:top="1440" w:right="963" w:bottom="1440" w:left="1020" w:header="720" w:footer="861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7BD98" w14:textId="77777777" w:rsidR="001C38E9" w:rsidRDefault="001C38E9" w:rsidP="009C729D">
      <w:r>
        <w:separator/>
      </w:r>
    </w:p>
  </w:endnote>
  <w:endnote w:type="continuationSeparator" w:id="0">
    <w:p w14:paraId="3E2EBD66" w14:textId="77777777" w:rsidR="001C38E9" w:rsidRDefault="001C38E9" w:rsidP="009C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0EA65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255D0460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7C7DAEFD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7CAF1120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6330E425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2F7A5" w14:textId="77777777" w:rsidR="001C38E9" w:rsidRDefault="001C38E9" w:rsidP="009C729D">
      <w:r>
        <w:separator/>
      </w:r>
    </w:p>
  </w:footnote>
  <w:footnote w:type="continuationSeparator" w:id="0">
    <w:p w14:paraId="3C1112C4" w14:textId="77777777" w:rsidR="001C38E9" w:rsidRDefault="001C38E9" w:rsidP="009C7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735C3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3D76654A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02188D7F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02F8EACD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  <w:p w14:paraId="22546DA7" w14:textId="77777777" w:rsidR="009C729D" w:rsidRDefault="009C729D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orPos" w:val="-1"/>
    <w:docVar w:name="ColorSet" w:val="-1"/>
    <w:docVar w:name="StylePos" w:val="-1"/>
    <w:docVar w:name="StyleSet" w:val="-1"/>
  </w:docVars>
  <w:rsids>
    <w:rsidRoot w:val="009C729D"/>
    <w:rsid w:val="001C38E9"/>
    <w:rsid w:val="006817CE"/>
    <w:rsid w:val="009018C7"/>
    <w:rsid w:val="0094293A"/>
    <w:rsid w:val="009C729D"/>
    <w:rsid w:val="00B2343C"/>
    <w:rsid w:val="00DB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0DE24"/>
  <w15:chartTrackingRefBased/>
  <w15:docId w15:val="{F5284ECE-12C2-2D49-919B-4736B199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lanotte</dc:creator>
  <cp:keywords/>
  <cp:lastModifiedBy>fabio lanotte</cp:lastModifiedBy>
  <cp:revision>3</cp:revision>
  <dcterms:created xsi:type="dcterms:W3CDTF">2019-10-15T17:41:00Z</dcterms:created>
  <dcterms:modified xsi:type="dcterms:W3CDTF">2019-10-21T07:24:00Z</dcterms:modified>
</cp:coreProperties>
</file>